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D6" w:rsidRDefault="00AB6B92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工伤认定业务流程图</w:t>
      </w:r>
    </w:p>
    <w:tbl>
      <w:tblPr>
        <w:tblpPr w:leftFromText="180" w:rightFromText="180" w:vertAnchor="text" w:horzAnchor="margin" w:tblpXSpec="center" w:tblpY="629"/>
        <w:tblW w:w="9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108"/>
      </w:tblGrid>
      <w:tr w:rsidR="00293BD6">
        <w:trPr>
          <w:trHeight w:val="945"/>
        </w:trPr>
        <w:tc>
          <w:tcPr>
            <w:tcW w:w="9108" w:type="dxa"/>
          </w:tcPr>
          <w:p w:rsidR="00293BD6" w:rsidRDefault="00AB6B9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参保单位自事故发生之日起</w:t>
            </w:r>
            <w:r>
              <w:rPr>
                <w:rFonts w:hint="eastAsia"/>
                <w:b/>
                <w:bCs/>
                <w:sz w:val="32"/>
                <w:szCs w:val="32"/>
              </w:rPr>
              <w:t>30</w:t>
            </w:r>
            <w:r>
              <w:rPr>
                <w:rFonts w:hint="eastAsia"/>
                <w:b/>
                <w:bCs/>
                <w:sz w:val="32"/>
                <w:szCs w:val="32"/>
              </w:rPr>
              <w:t>日内</w:t>
            </w:r>
            <w:r w:rsidR="00E66253">
              <w:rPr>
                <w:rFonts w:hint="eastAsia"/>
                <w:b/>
                <w:bCs/>
                <w:sz w:val="32"/>
                <w:szCs w:val="32"/>
              </w:rPr>
              <w:t>在网上</w:t>
            </w:r>
            <w:r>
              <w:rPr>
                <w:rFonts w:hint="eastAsia"/>
                <w:b/>
                <w:bCs/>
                <w:sz w:val="32"/>
                <w:szCs w:val="32"/>
              </w:rPr>
              <w:t>备案（快报）</w:t>
            </w:r>
          </w:p>
          <w:p w:rsidR="00293BD6" w:rsidRDefault="00AB6B9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32"/>
                <w:szCs w:val="32"/>
              </w:rPr>
              <w:t>【个人</w:t>
            </w:r>
            <w:r>
              <w:rPr>
                <w:rFonts w:hint="eastAsia"/>
                <w:bCs/>
                <w:sz w:val="32"/>
                <w:szCs w:val="32"/>
              </w:rPr>
              <w:t>30</w:t>
            </w:r>
            <w:r>
              <w:rPr>
                <w:rFonts w:hint="eastAsia"/>
                <w:bCs/>
                <w:sz w:val="32"/>
                <w:szCs w:val="32"/>
              </w:rPr>
              <w:t>日后方可申报】</w:t>
            </w:r>
          </w:p>
        </w:tc>
      </w:tr>
    </w:tbl>
    <w:p w:rsidR="00293BD6" w:rsidRDefault="00293BD6">
      <w:pPr>
        <w:rPr>
          <w:sz w:val="28"/>
          <w:szCs w:val="28"/>
        </w:rPr>
      </w:pPr>
    </w:p>
    <w:p w:rsidR="00293BD6" w:rsidRDefault="00293BD6">
      <w:pPr>
        <w:rPr>
          <w:sz w:val="52"/>
          <w:szCs w:val="52"/>
        </w:rPr>
      </w:pPr>
      <w:r>
        <w:rPr>
          <w:sz w:val="52"/>
          <w:szCs w:val="5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left:0;text-align:left;margin-left:3in;margin-top:78pt;width:38.15pt;height:27.4pt;z-index:251659776" strokeweight="1.5p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180"/>
        <w:tblW w:w="9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108"/>
      </w:tblGrid>
      <w:tr w:rsidR="00293BD6">
        <w:trPr>
          <w:trHeight w:val="780"/>
        </w:trPr>
        <w:tc>
          <w:tcPr>
            <w:tcW w:w="9108" w:type="dxa"/>
          </w:tcPr>
          <w:p w:rsidR="00293BD6" w:rsidRDefault="00AB6B9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工伤认定所需材料领取与准备</w:t>
            </w:r>
            <w:r>
              <w:rPr>
                <w:rFonts w:hint="eastAsia"/>
                <w:bCs/>
                <w:sz w:val="28"/>
                <w:szCs w:val="28"/>
              </w:rPr>
              <w:t>（仔细阅读告知书）</w:t>
            </w:r>
          </w:p>
        </w:tc>
      </w:tr>
    </w:tbl>
    <w:tbl>
      <w:tblPr>
        <w:tblpPr w:leftFromText="180" w:rightFromText="180" w:vertAnchor="page" w:horzAnchor="margin" w:tblpXSpec="center" w:tblpY="6482"/>
        <w:tblW w:w="9072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072"/>
      </w:tblGrid>
      <w:tr w:rsidR="00293BD6">
        <w:trPr>
          <w:trHeight w:val="930"/>
        </w:trPr>
        <w:tc>
          <w:tcPr>
            <w:tcW w:w="9072" w:type="dxa"/>
          </w:tcPr>
          <w:p w:rsidR="00293BD6" w:rsidRDefault="00AB6B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工伤认定材料的递交与受理</w:t>
            </w:r>
          </w:p>
          <w:p w:rsidR="00293BD6" w:rsidRDefault="00AB6B9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单位、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人均自事故伤害发生之日或者被诊断、鉴定为职业病起</w:t>
            </w:r>
            <w:r>
              <w:rPr>
                <w:rFonts w:ascii="黑体" w:eastAsia="黑体" w:hAnsi="宋体" w:hint="eastAsia"/>
                <w:b/>
                <w:sz w:val="28"/>
                <w:szCs w:val="28"/>
              </w:rPr>
              <w:t>一年内</w:t>
            </w:r>
          </w:p>
        </w:tc>
      </w:tr>
    </w:tbl>
    <w:p w:rsidR="00293BD6" w:rsidRDefault="00293BD6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 id="_x0000_s1071" type="#_x0000_t67" style="position:absolute;left:0;text-align:left;margin-left:3in;margin-top:63.95pt;width:38.15pt;height:27.4pt;z-index:251661824;mso-position-horizontal-relative:text;mso-position-vertical-relative:text" strokeweight="1.5pt">
            <v:textbox style="layout-flow:vertical-ideographic"/>
          </v:shape>
        </w:pict>
      </w:r>
    </w:p>
    <w:p w:rsidR="00293BD6" w:rsidRDefault="00293BD6">
      <w:pPr>
        <w:jc w:val="center"/>
        <w:rPr>
          <w:sz w:val="28"/>
          <w:szCs w:val="28"/>
        </w:rPr>
      </w:pPr>
      <w:r w:rsidRPr="00293BD6">
        <w:rPr>
          <w:sz w:val="52"/>
          <w:szCs w:val="52"/>
        </w:rPr>
        <w:pict>
          <v:shape id="_x0000_s1070" type="#_x0000_t67" style="position:absolute;left:0;text-align:left;margin-left:3in;margin-top:87.95pt;width:38.15pt;height:27.4pt;z-index:251660800" strokeweight="1.5pt">
            <v:textbox style="layout-flow:vertical-ideographic"/>
          </v:shape>
        </w:pict>
      </w:r>
    </w:p>
    <w:tbl>
      <w:tblPr>
        <w:tblpPr w:leftFromText="180" w:rightFromText="180" w:vertAnchor="text" w:horzAnchor="margin" w:tblpXSpec="center" w:tblpY="194"/>
        <w:tblW w:w="9144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144"/>
      </w:tblGrid>
      <w:tr w:rsidR="00293BD6">
        <w:trPr>
          <w:trHeight w:val="1245"/>
        </w:trPr>
        <w:tc>
          <w:tcPr>
            <w:tcW w:w="9144" w:type="dxa"/>
          </w:tcPr>
          <w:p w:rsidR="00293BD6" w:rsidRDefault="00AB6B9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领取工伤认定结论</w:t>
            </w:r>
          </w:p>
          <w:p w:rsidR="00293BD6" w:rsidRDefault="00AB6B92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rFonts w:hint="eastAsia"/>
                <w:bCs/>
                <w:sz w:val="28"/>
                <w:szCs w:val="28"/>
              </w:rPr>
              <w:t>受理之日起</w:t>
            </w:r>
            <w:r>
              <w:rPr>
                <w:rFonts w:hint="eastAsia"/>
                <w:bCs/>
                <w:sz w:val="28"/>
                <w:szCs w:val="28"/>
              </w:rPr>
              <w:t>60</w:t>
            </w:r>
            <w:r>
              <w:rPr>
                <w:rFonts w:hint="eastAsia"/>
                <w:bCs/>
                <w:sz w:val="28"/>
                <w:szCs w:val="28"/>
              </w:rPr>
              <w:t>日内</w:t>
            </w:r>
            <w:proofErr w:type="gramStart"/>
            <w:r>
              <w:rPr>
                <w:rFonts w:hint="eastAsia"/>
                <w:bCs/>
                <w:sz w:val="28"/>
                <w:szCs w:val="28"/>
              </w:rPr>
              <w:t>作出</w:t>
            </w:r>
            <w:proofErr w:type="gramEnd"/>
            <w:r>
              <w:rPr>
                <w:rFonts w:hint="eastAsia"/>
                <w:bCs/>
                <w:sz w:val="28"/>
                <w:szCs w:val="28"/>
              </w:rPr>
              <w:t>认定结论，凭受理单领取结论（依法中止除外）</w:t>
            </w:r>
          </w:p>
        </w:tc>
      </w:tr>
    </w:tbl>
    <w:p w:rsidR="00293BD6" w:rsidRDefault="00293BD6">
      <w:pPr>
        <w:rPr>
          <w:sz w:val="28"/>
          <w:szCs w:val="28"/>
        </w:rPr>
      </w:pPr>
    </w:p>
    <w:p w:rsidR="00293BD6" w:rsidRDefault="00293BD6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9pt;margin-top:1.7pt;width:459pt;height:34.8pt;z-index:251657728" strokeweight="1.25pt">
            <v:textbox>
              <w:txbxContent>
                <w:p w:rsidR="00293BD6" w:rsidRDefault="00AB6B92">
                  <w:pPr>
                    <w:jc w:val="center"/>
                    <w:rPr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认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定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工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伤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后</w:t>
                  </w:r>
                </w:p>
              </w:txbxContent>
            </v:textbox>
          </v:shape>
        </w:pict>
      </w:r>
    </w:p>
    <w:p w:rsidR="00293BD6" w:rsidRDefault="00293BD6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 id="_x0000_s1048" type="#_x0000_t67" style="position:absolute;left:0;text-align:left;margin-left:351pt;margin-top:17.3pt;width:47.15pt;height:54.6pt;z-index:251656704" strokeweight="1pt">
            <v:stroke dashstyle="longDashDotDot"/>
            <v:textbox style="layout-flow:vertical-ideographic">
              <w:txbxContent>
                <w:p w:rsidR="00293BD6" w:rsidRDefault="00AB6B92">
                  <w:pPr>
                    <w:ind w:firstLineChars="49" w:firstLine="103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程序</w:t>
                  </w:r>
                  <w:r>
                    <w:rPr>
                      <w:rFonts w:hint="eastAsia"/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sz w:val="52"/>
          <w:szCs w:val="52"/>
        </w:rPr>
        <w:pict>
          <v:shape id="_x0000_s1047" type="#_x0000_t67" style="position:absolute;left:0;text-align:left;margin-left:81pt;margin-top:17.3pt;width:47.15pt;height:54.6pt;z-index:251655680" strokeweight="1pt">
            <v:stroke dashstyle="longDashDotDot"/>
            <v:textbox style="layout-flow:vertical-ideographic">
              <w:txbxContent>
                <w:p w:rsidR="00293BD6" w:rsidRDefault="00AB6B92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程序</w:t>
                  </w:r>
                  <w:r>
                    <w:rPr>
                      <w:rFonts w:hint="eastAsia"/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293BD6" w:rsidRDefault="00293BD6">
      <w:pPr>
        <w:jc w:val="center"/>
        <w:rPr>
          <w:sz w:val="52"/>
          <w:szCs w:val="52"/>
        </w:rPr>
      </w:pPr>
    </w:p>
    <w:p w:rsidR="00293BD6" w:rsidRDefault="00293BD6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 id="_x0000_s1039" type="#_x0000_t202" style="position:absolute;left:0;text-align:left;margin-left:279pt;margin-top:17.3pt;width:198pt;height:71.85pt;z-index:251653632" strokeweight="1.75pt">
            <v:textbox>
              <w:txbxContent>
                <w:p w:rsidR="00293BD6" w:rsidRDefault="00AB6B92">
                  <w:pPr>
                    <w:spacing w:line="440" w:lineRule="exac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费用报销</w:t>
                  </w:r>
                </w:p>
                <w:p w:rsidR="00293BD6" w:rsidRDefault="00AB6B92">
                  <w:pPr>
                    <w:spacing w:line="440" w:lineRule="exact"/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江宁市民中心二楼工伤支付窗口</w:t>
                  </w:r>
                </w:p>
              </w:txbxContent>
            </v:textbox>
          </v:shape>
        </w:pict>
      </w:r>
      <w:bookmarkStart w:id="0" w:name="_GoBack"/>
      <w:bookmarkEnd w:id="0"/>
      <w:r>
        <w:rPr>
          <w:sz w:val="52"/>
          <w:szCs w:val="52"/>
        </w:rPr>
        <w:pict>
          <v:shape id="_x0000_s1040" type="#_x0000_t202" style="position:absolute;left:0;text-align:left;margin-left:-9pt;margin-top:17.3pt;width:3in;height:70.2pt;z-index:251654656" strokeweight="1.25pt">
            <v:textbox>
              <w:txbxContent>
                <w:p w:rsidR="00293BD6" w:rsidRDefault="00AB6B9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劳动能力鉴定</w:t>
                  </w:r>
                </w:p>
                <w:p w:rsidR="00293BD6" w:rsidRDefault="00AB6B92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小龙</w:t>
                  </w:r>
                  <w:proofErr w:type="gramStart"/>
                  <w:r>
                    <w:rPr>
                      <w:rFonts w:hint="eastAsia"/>
                      <w:bCs/>
                      <w:sz w:val="24"/>
                    </w:rPr>
                    <w:t>湾路</w:t>
                  </w:r>
                  <w:proofErr w:type="gramEnd"/>
                  <w:r>
                    <w:rPr>
                      <w:rFonts w:hint="eastAsia"/>
                      <w:bCs/>
                      <w:sz w:val="24"/>
                    </w:rPr>
                    <w:t>18</w:t>
                  </w:r>
                  <w:r>
                    <w:rPr>
                      <w:rFonts w:hint="eastAsia"/>
                      <w:bCs/>
                      <w:sz w:val="24"/>
                    </w:rPr>
                    <w:t>号一楼大厅</w:t>
                  </w:r>
                </w:p>
                <w:p w:rsidR="00293BD6" w:rsidRDefault="00AB6B92">
                  <w:pPr>
                    <w:jc w:val="center"/>
                    <w:rPr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24"/>
                    </w:rPr>
                    <w:t>劳动能力鉴定窗口</w:t>
                  </w:r>
                </w:p>
              </w:txbxContent>
            </v:textbox>
          </v:shape>
        </w:pict>
      </w:r>
    </w:p>
    <w:p w:rsidR="00293BD6" w:rsidRDefault="00293BD6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3in;margin-top:8.55pt;width:54pt;height:38.25pt;z-index:251658752" strokeweight="1pt">
            <v:stroke dashstyle="longDashDotDot"/>
            <v:textbox>
              <w:txbxContent>
                <w:p w:rsidR="00293BD6" w:rsidRDefault="00AB6B92">
                  <w:pPr>
                    <w:ind w:firstLineChars="49" w:firstLine="103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程序</w:t>
                  </w:r>
                  <w:r>
                    <w:rPr>
                      <w:rFonts w:hint="eastAsia"/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293BD6" w:rsidRDefault="00293BD6">
      <w:pPr>
        <w:jc w:val="center"/>
        <w:rPr>
          <w:sz w:val="52"/>
          <w:szCs w:val="52"/>
        </w:rPr>
      </w:pPr>
    </w:p>
    <w:p w:rsidR="00293BD6" w:rsidRDefault="00293BD6">
      <w:pPr>
        <w:spacing w:line="420" w:lineRule="exact"/>
        <w:ind w:firstLineChars="196" w:firstLine="551"/>
        <w:rPr>
          <w:rFonts w:ascii="宋体" w:hAnsi="宋体"/>
          <w:b/>
          <w:sz w:val="28"/>
          <w:szCs w:val="28"/>
        </w:rPr>
      </w:pPr>
    </w:p>
    <w:p w:rsidR="00293BD6" w:rsidRDefault="00293BD6">
      <w:pPr>
        <w:spacing w:line="420" w:lineRule="exact"/>
        <w:ind w:firstLineChars="196" w:firstLine="551"/>
        <w:rPr>
          <w:rFonts w:ascii="宋体" w:hAnsi="宋体"/>
          <w:b/>
          <w:sz w:val="28"/>
          <w:szCs w:val="28"/>
        </w:rPr>
      </w:pPr>
    </w:p>
    <w:sectPr w:rsidR="00293BD6" w:rsidSect="00293BD6">
      <w:headerReference w:type="default" r:id="rId7"/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B92" w:rsidRDefault="00AB6B92" w:rsidP="00293BD6">
      <w:r>
        <w:separator/>
      </w:r>
    </w:p>
  </w:endnote>
  <w:endnote w:type="continuationSeparator" w:id="0">
    <w:p w:rsidR="00AB6B92" w:rsidRDefault="00AB6B92" w:rsidP="00293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B92" w:rsidRDefault="00AB6B92" w:rsidP="00293BD6">
      <w:r>
        <w:separator/>
      </w:r>
    </w:p>
  </w:footnote>
  <w:footnote w:type="continuationSeparator" w:id="0">
    <w:p w:rsidR="00AB6B92" w:rsidRDefault="00AB6B92" w:rsidP="00293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BD6" w:rsidRDefault="00293BD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8D2"/>
    <w:rsid w:val="00010EB0"/>
    <w:rsid w:val="000F06C2"/>
    <w:rsid w:val="001D4A95"/>
    <w:rsid w:val="00293BD6"/>
    <w:rsid w:val="002B0824"/>
    <w:rsid w:val="0035328E"/>
    <w:rsid w:val="00413205"/>
    <w:rsid w:val="00445B15"/>
    <w:rsid w:val="0045229B"/>
    <w:rsid w:val="00476829"/>
    <w:rsid w:val="0050566A"/>
    <w:rsid w:val="005372BA"/>
    <w:rsid w:val="00637B00"/>
    <w:rsid w:val="00692BFD"/>
    <w:rsid w:val="006F5282"/>
    <w:rsid w:val="00801E4C"/>
    <w:rsid w:val="00843350"/>
    <w:rsid w:val="00882B31"/>
    <w:rsid w:val="009608F0"/>
    <w:rsid w:val="00973670"/>
    <w:rsid w:val="00AB6B92"/>
    <w:rsid w:val="00AC3285"/>
    <w:rsid w:val="00B07143"/>
    <w:rsid w:val="00B6350B"/>
    <w:rsid w:val="00BC33C9"/>
    <w:rsid w:val="00BF4378"/>
    <w:rsid w:val="00BF51DF"/>
    <w:rsid w:val="00C10E38"/>
    <w:rsid w:val="00C2043A"/>
    <w:rsid w:val="00C524BD"/>
    <w:rsid w:val="00E66253"/>
    <w:rsid w:val="00EE655A"/>
    <w:rsid w:val="00F314EE"/>
    <w:rsid w:val="00F73FBE"/>
    <w:rsid w:val="00F928D2"/>
    <w:rsid w:val="00FC35C4"/>
    <w:rsid w:val="00FC6DD4"/>
    <w:rsid w:val="012C7677"/>
    <w:rsid w:val="1160462A"/>
    <w:rsid w:val="2E991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93BD6"/>
    <w:rPr>
      <w:sz w:val="18"/>
      <w:szCs w:val="18"/>
    </w:rPr>
  </w:style>
  <w:style w:type="paragraph" w:styleId="a4">
    <w:name w:val="footer"/>
    <w:basedOn w:val="a"/>
    <w:link w:val="Char"/>
    <w:qFormat/>
    <w:rsid w:val="00293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93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sid w:val="00293BD6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293B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9"/>
    <customShpInfo spid="_x0000_s1071"/>
    <customShpInfo spid="_x0000_s1070"/>
    <customShpInfo spid="_x0000_s1066"/>
    <customShpInfo spid="_x0000_s1048"/>
    <customShpInfo spid="_x0000_s1047"/>
    <customShpInfo spid="_x0000_s1039"/>
    <customShpInfo spid="_x0000_s1040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工伤认定业务流程图</dc:title>
  <dc:creator>Lenovo User</dc:creator>
  <cp:lastModifiedBy>lsh</cp:lastModifiedBy>
  <cp:revision>7</cp:revision>
  <cp:lastPrinted>2015-12-31T02:16:00Z</cp:lastPrinted>
  <dcterms:created xsi:type="dcterms:W3CDTF">2017-04-28T00:56:00Z</dcterms:created>
  <dcterms:modified xsi:type="dcterms:W3CDTF">2021-07-27T07:02:00Z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